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B2796" w14:textId="77777777" w:rsidR="00FB33D3" w:rsidRDefault="00FB33D3" w:rsidP="00FB33D3">
      <w:pPr>
        <w:spacing w:after="0" w:line="360" w:lineRule="auto"/>
        <w:jc w:val="center"/>
        <w:rPr>
          <w:rFonts w:ascii="Times New Roman" w:hAnsi="Times New Roman" w:cs="Times New Roman"/>
          <w:b/>
          <w:color w:val="0070C0"/>
          <w:szCs w:val="21"/>
        </w:rPr>
      </w:pPr>
      <w:r>
        <w:rPr>
          <w:rFonts w:ascii="Times New Roman" w:hAnsi="Times New Roman" w:cs="Times New Roman"/>
          <w:b/>
          <w:color w:val="0070C0"/>
          <w:szCs w:val="21"/>
        </w:rPr>
        <w:t>ÇANKIRI KARATEKİN ÜNİVERSİTESİ SAĞLIK BİLİMLERİ FAKÜLTESİ</w:t>
      </w:r>
    </w:p>
    <w:p w14:paraId="7E6A7F2E" w14:textId="4D3B715E" w:rsidR="00FB33D3" w:rsidRDefault="00FB33D3" w:rsidP="00FB33D3">
      <w:pPr>
        <w:spacing w:after="0" w:line="360" w:lineRule="auto"/>
        <w:jc w:val="center"/>
        <w:rPr>
          <w:rFonts w:ascii="Times New Roman" w:hAnsi="Times New Roman" w:cs="Times New Roman"/>
          <w:b/>
          <w:color w:val="0070C0"/>
          <w:szCs w:val="21"/>
        </w:rPr>
      </w:pPr>
      <w:r>
        <w:rPr>
          <w:rFonts w:ascii="Times New Roman" w:hAnsi="Times New Roman" w:cs="Times New Roman"/>
          <w:b/>
          <w:color w:val="0070C0"/>
          <w:szCs w:val="21"/>
        </w:rPr>
        <w:t xml:space="preserve">2025-2026 YILI  </w:t>
      </w:r>
      <w:r>
        <w:rPr>
          <w:rFonts w:ascii="Times New Roman" w:eastAsia="Roboto-Bold" w:hAnsi="Times New Roman" w:cs="Times New Roman"/>
          <w:b/>
          <w:bCs/>
          <w:color w:val="0070C0"/>
          <w:kern w:val="0"/>
          <w:lang w:val="en-US" w:eastAsia="zh-CN" w:bidi="ar"/>
        </w:rPr>
        <w:t>SBF-FR-89 ÖĞRENCİ YÖNETİCİ YETKİNLİK</w:t>
      </w:r>
      <w:r>
        <w:rPr>
          <w:rFonts w:ascii="Times New Roman" w:eastAsia="Roboto-Bold" w:hAnsi="Times New Roman" w:cs="Times New Roman"/>
          <w:b/>
          <w:bCs/>
          <w:color w:val="0070C0"/>
          <w:kern w:val="0"/>
          <w:lang w:eastAsia="zh-CN" w:bidi="ar"/>
        </w:rPr>
        <w:t xml:space="preserve"> </w:t>
      </w:r>
      <w:r>
        <w:rPr>
          <w:rFonts w:ascii="Times New Roman" w:eastAsia="Roboto-Bold" w:hAnsi="Times New Roman" w:cs="Times New Roman"/>
          <w:b/>
          <w:bCs/>
          <w:color w:val="0070C0"/>
          <w:kern w:val="0"/>
          <w:lang w:val="en-US" w:eastAsia="zh-CN" w:bidi="ar"/>
        </w:rPr>
        <w:t>PERFORMANS DEĞERLENDİRME</w:t>
      </w:r>
      <w:r>
        <w:rPr>
          <w:rFonts w:ascii="Times New Roman" w:hAnsi="Times New Roman" w:cs="Times New Roman"/>
          <w:b/>
          <w:color w:val="0070C0"/>
          <w:szCs w:val="21"/>
        </w:rPr>
        <w:t xml:space="preserve"> ANKET</w:t>
      </w:r>
      <w:r w:rsidR="00851FAB">
        <w:rPr>
          <w:rFonts w:ascii="Times New Roman" w:hAnsi="Times New Roman" w:cs="Times New Roman"/>
          <w:b/>
          <w:color w:val="0070C0"/>
          <w:szCs w:val="21"/>
        </w:rPr>
        <w:t xml:space="preserve"> RAPORU</w:t>
      </w:r>
    </w:p>
    <w:p w14:paraId="569DF1CF" w14:textId="5B526BE4" w:rsidR="00FB33D3" w:rsidRDefault="00FB33D3" w:rsidP="00FB33D3">
      <w:pPr>
        <w:spacing w:line="360" w:lineRule="auto"/>
        <w:jc w:val="both"/>
        <w:rPr>
          <w:rFonts w:ascii="Times New Roman" w:hAnsi="Times New Roman" w:cs="Times New Roman"/>
          <w:szCs w:val="21"/>
        </w:rPr>
      </w:pPr>
      <w:r>
        <w:rPr>
          <w:rFonts w:ascii="Times New Roman" w:hAnsi="Times New Roman" w:cs="Times New Roman"/>
          <w:szCs w:val="21"/>
        </w:rPr>
        <w:t>Kalite güvence sistemi hedefleri doğrultusunda Çankırı Karatekin Üniversitesi Sağlık Bilimleri Fakültesi</w:t>
      </w:r>
      <w:r w:rsidR="00851FAB">
        <w:rPr>
          <w:rFonts w:ascii="Times New Roman" w:hAnsi="Times New Roman" w:cs="Times New Roman"/>
          <w:szCs w:val="21"/>
        </w:rPr>
        <w:t>’</w:t>
      </w:r>
      <w:r>
        <w:rPr>
          <w:rFonts w:ascii="Times New Roman" w:hAnsi="Times New Roman" w:cs="Times New Roman"/>
          <w:szCs w:val="21"/>
        </w:rPr>
        <w:t xml:space="preserve">nin yürüttüğü </w:t>
      </w:r>
      <w:r>
        <w:rPr>
          <w:rFonts w:ascii="Times New Roman" w:eastAsia="docs-Roboto" w:hAnsi="Times New Roman" w:cs="Times New Roman"/>
          <w:color w:val="202124"/>
          <w:shd w:val="clear" w:color="auto" w:fill="FFFFFF"/>
        </w:rPr>
        <w:t>Öğrenci Yönetici Yetkinlik Performans Değerlendirmesi ile Çankırı Karatekin Üniversitesi Sağlık Bilimleri Fakültesi Dekanı, Dekan Yardımcısı ve Bölüm Başkanını yönetici yetkinlik performans değerlendirme kriterleri (işgücü organizasyonu, bilgi aktarma, yol gösterme, liderlik ve yönetme ve paydaş odaklılık)</w:t>
      </w:r>
      <w:r>
        <w:rPr>
          <w:rFonts w:ascii="Times New Roman" w:eastAsia="docs-Roboto" w:hAnsi="Times New Roman" w:cs="Times New Roman"/>
          <w:i/>
          <w:iCs/>
          <w:color w:val="202124"/>
          <w:shd w:val="clear" w:color="auto" w:fill="FFFFFF"/>
        </w:rPr>
        <w:t> </w:t>
      </w:r>
      <w:r>
        <w:rPr>
          <w:rFonts w:ascii="Times New Roman" w:eastAsia="docs-Roboto" w:hAnsi="Times New Roman" w:cs="Times New Roman"/>
          <w:color w:val="202124"/>
          <w:shd w:val="clear" w:color="auto" w:fill="FFFFFF"/>
        </w:rPr>
        <w:t xml:space="preserve">doğrultusunda değerlendirilmiş olup, ankete 466 öğrenci katılmıştır. </w:t>
      </w:r>
      <w:r>
        <w:rPr>
          <w:rFonts w:ascii="Times New Roman" w:hAnsi="Times New Roman" w:cs="Times New Roman"/>
          <w:szCs w:val="21"/>
        </w:rPr>
        <w:t>Ankete yanıt veren katılımcıların % 23.2’si  (108) hemşirelik, % 4.9’u (23) beslenme ve diyetetik, % 16.8’i (78) ebelik, % 5.6’sı (26) ergoterapi, % 18.1’i (84) çocuk gelişimi, % 11.2’si (52) sosyal hizmet ve % 11.8’si (55) sağlık yönetimi bölümlerinden oluşmaktadır. Katılımcıların bölümlere göre dağılımı Şekil 1’de sunulmuştur (Şekil 1).</w:t>
      </w:r>
    </w:p>
    <w:p w14:paraId="045273D6" w14:textId="77777777" w:rsidR="00FB33D3" w:rsidRDefault="00FB33D3" w:rsidP="00FB33D3">
      <w:pPr>
        <w:spacing w:line="360" w:lineRule="auto"/>
        <w:jc w:val="both"/>
        <w:rPr>
          <w:rFonts w:ascii="Times New Roman" w:hAnsi="Times New Roman" w:cs="Times New Roman"/>
          <w:sz w:val="24"/>
        </w:rPr>
      </w:pPr>
      <w:r>
        <w:rPr>
          <w:rFonts w:ascii="SimSun" w:eastAsia="SimSun" w:hAnsi="SimSun" w:cs="SimSun"/>
          <w:noProof/>
          <w:sz w:val="24"/>
          <w:szCs w:val="24"/>
        </w:rPr>
        <w:drawing>
          <wp:inline distT="0" distB="0" distL="114300" distR="114300" wp14:anchorId="30D86BAD" wp14:editId="79A78637">
            <wp:extent cx="5757545" cy="1567815"/>
            <wp:effectExtent l="0" t="0" r="14605" b="13335"/>
            <wp:docPr id="17"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IMG_256"/>
                    <pic:cNvPicPr>
                      <a:picLocks noChangeAspect="1"/>
                    </pic:cNvPicPr>
                  </pic:nvPicPr>
                  <pic:blipFill>
                    <a:blip r:embed="rId4"/>
                    <a:stretch>
                      <a:fillRect/>
                    </a:stretch>
                  </pic:blipFill>
                  <pic:spPr>
                    <a:xfrm>
                      <a:off x="0" y="0"/>
                      <a:ext cx="5757545" cy="1567815"/>
                    </a:xfrm>
                    <a:prstGeom prst="rect">
                      <a:avLst/>
                    </a:prstGeom>
                    <a:noFill/>
                    <a:ln w="9525">
                      <a:noFill/>
                    </a:ln>
                  </pic:spPr>
                </pic:pic>
              </a:graphicData>
            </a:graphic>
          </wp:inline>
        </w:drawing>
      </w:r>
    </w:p>
    <w:p w14:paraId="6A327FDA" w14:textId="77777777" w:rsidR="00FB33D3" w:rsidRDefault="00FB33D3" w:rsidP="00FB33D3">
      <w:pPr>
        <w:spacing w:line="360" w:lineRule="auto"/>
        <w:jc w:val="both"/>
        <w:rPr>
          <w:rFonts w:ascii="Times New Roman" w:hAnsi="Times New Roman" w:cs="Times New Roman"/>
          <w:sz w:val="24"/>
        </w:rPr>
      </w:pPr>
      <w:r>
        <w:rPr>
          <w:rFonts w:ascii="Times New Roman" w:hAnsi="Times New Roman" w:cs="Times New Roman"/>
          <w:b/>
          <w:color w:val="215E99" w:themeColor="text2" w:themeTint="BF"/>
          <w:sz w:val="24"/>
        </w:rPr>
        <w:t>Şekil 1:</w:t>
      </w:r>
      <w:r>
        <w:rPr>
          <w:rFonts w:ascii="Times New Roman" w:hAnsi="Times New Roman" w:cs="Times New Roman"/>
          <w:color w:val="215E99" w:themeColor="text2" w:themeTint="BF"/>
          <w:sz w:val="24"/>
        </w:rPr>
        <w:t xml:space="preserve"> </w:t>
      </w:r>
      <w:r>
        <w:rPr>
          <w:rFonts w:ascii="Times New Roman" w:hAnsi="Times New Roman" w:cs="Times New Roman"/>
          <w:sz w:val="24"/>
        </w:rPr>
        <w:t>Katılımcıların bölümlere göre dağılımı</w:t>
      </w:r>
    </w:p>
    <w:p w14:paraId="2E5FC75B" w14:textId="77777777" w:rsidR="00FB33D3" w:rsidRDefault="00FB33D3" w:rsidP="00FB33D3">
      <w:pPr>
        <w:spacing w:line="360" w:lineRule="auto"/>
        <w:jc w:val="both"/>
        <w:rPr>
          <w:rFonts w:ascii="Times New Roman" w:hAnsi="Times New Roman" w:cs="Times New Roman"/>
          <w:sz w:val="24"/>
        </w:rPr>
      </w:pPr>
      <w:r>
        <w:rPr>
          <w:rFonts w:ascii="Times New Roman" w:hAnsi="Times New Roman" w:cs="Times New Roman"/>
          <w:sz w:val="24"/>
        </w:rPr>
        <w:t>Katılımcıların sınıflara göre dağılımları incelendiğinde, katılımcıların %40.9’u (190) 1. sınıf, % 25’i (116) 4. sınıf, % 19.2’si (89) 2. sınıf ve % 14.9’u (69) ise 3. sınıf  öğrencilerinden oluşmaktadır. Katılımcıların sınıflara göre dağılımı Şekil 2’de sunulmuştur (Şekil 2).</w:t>
      </w:r>
    </w:p>
    <w:p w14:paraId="2B6FBCE2" w14:textId="77777777" w:rsidR="00FB33D3" w:rsidRDefault="00FB33D3" w:rsidP="00FB33D3">
      <w:pPr>
        <w:spacing w:line="360" w:lineRule="auto"/>
        <w:jc w:val="both"/>
      </w:pPr>
      <w:r>
        <w:rPr>
          <w:rFonts w:ascii="SimSun" w:eastAsia="SimSun" w:hAnsi="SimSun" w:cs="SimSun"/>
          <w:noProof/>
          <w:sz w:val="24"/>
          <w:szCs w:val="24"/>
        </w:rPr>
        <w:drawing>
          <wp:inline distT="0" distB="0" distL="114300" distR="114300" wp14:anchorId="2AD4D8EE" wp14:editId="4292D9FC">
            <wp:extent cx="5657215" cy="1517650"/>
            <wp:effectExtent l="0" t="0" r="635" b="6350"/>
            <wp:docPr id="2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descr="IMG_256"/>
                    <pic:cNvPicPr>
                      <a:picLocks noChangeAspect="1"/>
                    </pic:cNvPicPr>
                  </pic:nvPicPr>
                  <pic:blipFill>
                    <a:blip r:embed="rId5"/>
                    <a:stretch>
                      <a:fillRect/>
                    </a:stretch>
                  </pic:blipFill>
                  <pic:spPr>
                    <a:xfrm>
                      <a:off x="0" y="0"/>
                      <a:ext cx="5657215" cy="1517650"/>
                    </a:xfrm>
                    <a:prstGeom prst="rect">
                      <a:avLst/>
                    </a:prstGeom>
                    <a:noFill/>
                    <a:ln w="9525">
                      <a:noFill/>
                    </a:ln>
                  </pic:spPr>
                </pic:pic>
              </a:graphicData>
            </a:graphic>
          </wp:inline>
        </w:drawing>
      </w:r>
    </w:p>
    <w:p w14:paraId="78AE073C" w14:textId="77777777" w:rsidR="00FB33D3" w:rsidRDefault="00FB33D3" w:rsidP="00FB33D3">
      <w:pPr>
        <w:spacing w:line="360" w:lineRule="auto"/>
        <w:jc w:val="both"/>
        <w:rPr>
          <w:rFonts w:ascii="Times New Roman" w:hAnsi="Times New Roman" w:cs="Times New Roman"/>
          <w:sz w:val="24"/>
        </w:rPr>
      </w:pPr>
      <w:r>
        <w:rPr>
          <w:rFonts w:ascii="Times New Roman" w:hAnsi="Times New Roman" w:cs="Times New Roman"/>
          <w:b/>
          <w:color w:val="215E99" w:themeColor="text2" w:themeTint="BF"/>
          <w:sz w:val="24"/>
        </w:rPr>
        <w:t>Şekil 2:</w:t>
      </w:r>
      <w:r>
        <w:rPr>
          <w:rFonts w:ascii="Times New Roman" w:hAnsi="Times New Roman" w:cs="Times New Roman"/>
          <w:color w:val="215E99" w:themeColor="text2" w:themeTint="BF"/>
          <w:sz w:val="24"/>
        </w:rPr>
        <w:t xml:space="preserve"> </w:t>
      </w:r>
      <w:r>
        <w:rPr>
          <w:rFonts w:ascii="Times New Roman" w:hAnsi="Times New Roman" w:cs="Times New Roman"/>
          <w:sz w:val="24"/>
        </w:rPr>
        <w:t>Katılımcıların sınıflara göre dağılımı</w:t>
      </w:r>
    </w:p>
    <w:p w14:paraId="20C98EA5" w14:textId="77777777" w:rsidR="00851FAB" w:rsidRDefault="00851FAB" w:rsidP="00FB33D3">
      <w:pPr>
        <w:pStyle w:val="NormalWeb"/>
        <w:spacing w:beforeAutospacing="0" w:afterAutospacing="0" w:line="360" w:lineRule="auto"/>
        <w:rPr>
          <w:rFonts w:eastAsia="docs-Roboto"/>
          <w:b/>
          <w:bCs/>
          <w:color w:val="0B769F" w:themeColor="accent4" w:themeShade="BF"/>
          <w:shd w:val="clear" w:color="auto" w:fill="FFFFFF"/>
          <w:lang w:val="tr-TR"/>
        </w:rPr>
      </w:pPr>
    </w:p>
    <w:p w14:paraId="03EB9232" w14:textId="77777777" w:rsidR="00851FAB" w:rsidRDefault="00851FAB" w:rsidP="00FB33D3">
      <w:pPr>
        <w:pStyle w:val="NormalWeb"/>
        <w:spacing w:beforeAutospacing="0" w:afterAutospacing="0" w:line="360" w:lineRule="auto"/>
        <w:rPr>
          <w:rFonts w:eastAsia="docs-Roboto"/>
          <w:b/>
          <w:bCs/>
          <w:color w:val="0B769F" w:themeColor="accent4" w:themeShade="BF"/>
          <w:shd w:val="clear" w:color="auto" w:fill="FFFFFF"/>
          <w:lang w:val="tr-TR"/>
        </w:rPr>
      </w:pPr>
    </w:p>
    <w:p w14:paraId="47588088" w14:textId="6F72030A" w:rsidR="00FB33D3" w:rsidRDefault="00FB33D3" w:rsidP="00FB33D3">
      <w:pPr>
        <w:pStyle w:val="NormalWeb"/>
        <w:spacing w:beforeAutospacing="0" w:afterAutospacing="0" w:line="360" w:lineRule="auto"/>
        <w:rPr>
          <w:rFonts w:eastAsia="docs-Roboto"/>
          <w:b/>
          <w:bCs/>
          <w:color w:val="0B769F" w:themeColor="accent4" w:themeShade="BF"/>
          <w:shd w:val="clear" w:color="auto" w:fill="FFFFFF"/>
          <w:lang w:val="tr-TR"/>
        </w:rPr>
      </w:pPr>
      <w:r>
        <w:rPr>
          <w:rFonts w:eastAsia="docs-Roboto"/>
          <w:b/>
          <w:bCs/>
          <w:color w:val="0B769F" w:themeColor="accent4" w:themeShade="BF"/>
          <w:shd w:val="clear" w:color="auto" w:fill="FFFFFF"/>
          <w:lang w:val="tr-TR"/>
        </w:rPr>
        <w:lastRenderedPageBreak/>
        <w:t>BÖLÜMLERE GÖRE ÖĞRENCİ YÖNETİCİ YETKİNLİK PERFORMANS DEĞERLENDİRME SONUÇLARI</w:t>
      </w:r>
    </w:p>
    <w:p w14:paraId="2947C54A"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HEMŞİRELİK BÖLÜMÜ</w:t>
      </w:r>
    </w:p>
    <w:p w14:paraId="4168603B"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Değerlendirilen Yönetici</w:t>
      </w:r>
    </w:p>
    <w:p w14:paraId="5C4081B0"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 xml:space="preserve">Dekan </w:t>
      </w:r>
    </w:p>
    <w:p w14:paraId="31BC1701"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Hemşirelik Bölümü öğrencilerinin Dekan hakkındaki değerlendirme sonuçları aşağıdaki Tablo 2’de sunulmuştur. Dekan için 19 maddelik yetkinlik değerlendirmesinde genel ortalama 4.21 olarak hesaplanmıştır. Bu değer, Likert ölçeğinde "Katılıyorum" düzeyine karşılık gelmektedir. </w:t>
      </w:r>
    </w:p>
    <w:p w14:paraId="17CB4194"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yüksek ortalama "7. Farklı verileri toparlayarak analiz etme, karmaşık konuları çözüme kavuşturma" maddesinde (4.68) elde edilirken, en düşük ortalama "3. Öğrencileri geliştirecek yöneticilik faaliyetlerine daha çok zaman ayırma" maddesinde (4.09) gözlemlenmiştir. Öğrencilerin dekanın farklı verileri analiz ederek karmaşık konuları çözüme kavuşturma yetkinliğini oldukça yüksek bulduğu görülmektedir. Diğer taraftan öğrencileri geliştirecek yöneticilik faaliyetlerine zaman ayırmada görece daha düşük bir değerlendirme yapılmış olup, bu alanda iyileştirme fırsatı bulunmaktadır (Tablo 17).</w:t>
      </w:r>
    </w:p>
    <w:p w14:paraId="6B9F97CA" w14:textId="77777777" w:rsidR="00FB33D3" w:rsidRDefault="00FB33D3" w:rsidP="00FB33D3">
      <w:pPr>
        <w:spacing w:before="80" w:after="60"/>
        <w:jc w:val="both"/>
        <w:rPr>
          <w:rFonts w:ascii="Times New Roman" w:hAnsi="Times New Roman" w:cs="Times New Roman"/>
          <w:sz w:val="24"/>
          <w:szCs w:val="24"/>
        </w:rPr>
      </w:pPr>
      <w:r>
        <w:rPr>
          <w:rFonts w:ascii="Times New Roman" w:hAnsi="Times New Roman" w:cs="Times New Roman"/>
          <w:b/>
          <w:bCs/>
          <w:sz w:val="24"/>
          <w:szCs w:val="24"/>
        </w:rPr>
        <w:t>Tablo 17:</w:t>
      </w:r>
      <w:r>
        <w:rPr>
          <w:rFonts w:ascii="Times New Roman" w:hAnsi="Times New Roman" w:cs="Times New Roman"/>
          <w:sz w:val="24"/>
          <w:szCs w:val="24"/>
        </w:rPr>
        <w:t xml:space="preserve"> Dekan Yetkinlik Değerlendirmesi Frekans Dağılımı ve Ortalamaları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51"/>
        <w:gridCol w:w="508"/>
        <w:gridCol w:w="710"/>
        <w:gridCol w:w="710"/>
        <w:gridCol w:w="810"/>
        <w:gridCol w:w="810"/>
        <w:gridCol w:w="810"/>
        <w:gridCol w:w="617"/>
      </w:tblGrid>
      <w:tr w:rsidR="00FB33D3" w14:paraId="65F4D3FC"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648F161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Madde</w:t>
            </w:r>
          </w:p>
        </w:tc>
        <w:tc>
          <w:tcPr>
            <w:tcW w:w="535"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604F7E5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N</w:t>
            </w:r>
          </w:p>
        </w:tc>
        <w:tc>
          <w:tcPr>
            <w:tcW w:w="603"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64AED7D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1</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229A9C0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2</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2060CBB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3</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3C73885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4</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3742442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5</w:t>
            </w:r>
          </w:p>
        </w:tc>
        <w:tc>
          <w:tcPr>
            <w:tcW w:w="635"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043E52A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Ort.</w:t>
            </w:r>
          </w:p>
        </w:tc>
      </w:tr>
      <w:tr w:rsidR="00FB33D3" w14:paraId="1175A178"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C75612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Ayrıntılarda boğulmadan ve ayrıntıları atlamadan işi gerektirdiği şekilde sonuçlandırma (sonuç odaklı çalışma)</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E1D29F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FE02B9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5F6376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w:t>
            </w:r>
          </w:p>
          <w:p w14:paraId="61B8063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BD354B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566613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32 (62.7%)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3ACB91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444E0EC"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4.37</w:t>
            </w:r>
          </w:p>
        </w:tc>
      </w:tr>
      <w:tr w:rsidR="00FB33D3" w14:paraId="1AB3B3C6"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8C0231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 Öğrencilerin yeteneklerini hedefler konusunda değerlendirme, doğru zamanda doğru yönlendirme</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E0E8FB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FACCE2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 xml:space="preserve">0 </w:t>
            </w:r>
          </w:p>
          <w:p w14:paraId="236C8F9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6CE931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 xml:space="preserve">0 </w:t>
            </w:r>
          </w:p>
          <w:p w14:paraId="0DEE9CE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605E37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AF44A1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26</w:t>
            </w:r>
          </w:p>
          <w:p w14:paraId="08CBF40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35CB07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5EB9B5A"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4.25</w:t>
            </w:r>
          </w:p>
        </w:tc>
      </w:tr>
      <w:tr w:rsidR="00FB33D3" w14:paraId="7C239F85"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B0471D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 Öğrencileri geliştirecek yöneticilik faaliyetlerine daha çok zaman ayırma</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49141A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39105E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 xml:space="preserve">0 </w:t>
            </w:r>
          </w:p>
          <w:p w14:paraId="6D9B4A9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989C2D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3503DA1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FD187A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10 (19.6%)</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44EFF5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5A5AFD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0580779"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4.09</w:t>
            </w:r>
          </w:p>
        </w:tc>
      </w:tr>
      <w:tr w:rsidR="00FB33D3" w14:paraId="5630A67C"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DABA72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 Tüm öğrencilere adaletli davranma</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D395EE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CFAEA5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0FCA8F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17EB607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BE00F9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w:t>
            </w:r>
          </w:p>
          <w:p w14:paraId="1DC3F33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15593F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w:t>
            </w:r>
          </w:p>
          <w:p w14:paraId="4B1B2E0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(33.3%)</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CC253B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6131C46"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4.11</w:t>
            </w:r>
          </w:p>
        </w:tc>
      </w:tr>
      <w:tr w:rsidR="00FB33D3" w14:paraId="11834065"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36FC30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Bilgi aktarımında öğrencinin anlayabileceği şekilde anlatma, bilgiye işlerlik kazandırma</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199D78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5EE5D2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477F4A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78F1D54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08FF57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DC9771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4EA1CC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45F927A"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4.27</w:t>
            </w:r>
          </w:p>
        </w:tc>
      </w:tr>
      <w:tr w:rsidR="00FB33D3" w14:paraId="0CCBBEF2"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34A0FB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Konusuyla ilgili her türlü problemlerde başvurulacak kişi olma</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B4A0C6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2CB210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5BF511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7963AF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10 (19.6%)</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95FFEC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w:t>
            </w:r>
          </w:p>
          <w:p w14:paraId="12BCE55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(33.3%)</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3B803E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57B0DC2"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4.21</w:t>
            </w:r>
          </w:p>
        </w:tc>
      </w:tr>
      <w:tr w:rsidR="00FB33D3" w14:paraId="005BFB12"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F68F9F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 Farklı verileri toparlayarak analiz etme, karmaşık konuları çözüme kavuşturma</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9497CF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34B4D6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AE5E54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09A963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5825EC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w:t>
            </w:r>
          </w:p>
          <w:p w14:paraId="257AD03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391777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40</w:t>
            </w:r>
          </w:p>
          <w:p w14:paraId="2EA0C24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(78.4%)</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84A2AE1"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4.68</w:t>
            </w:r>
          </w:p>
        </w:tc>
      </w:tr>
      <w:tr w:rsidR="00FB33D3" w14:paraId="16787A04"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3BB824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Öğrencilerin orta ve uzun dönemli kariyer beklentileri ve gelişme fırsatları konusunda yol gösterici olma (Bilimsel, sanatsal ve kültürel etkinliklerden haberdar etme ve/veya düzenlenmesine önderlik etme)</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B81EC7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25926B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12FD92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3AAABB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11 (21.6%)</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58AAA0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3A9B5D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w:t>
            </w:r>
          </w:p>
          <w:p w14:paraId="10B2F1F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(37.3%)</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BFA9024"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4.11</w:t>
            </w:r>
          </w:p>
        </w:tc>
      </w:tr>
      <w:tr w:rsidR="00FB33D3" w14:paraId="7480DCCB"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6EDA32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 Öğrencilerin akademik gelişimini desteklemek, motive etmek</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597DAE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DB5359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BD6D19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1B33EDA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231821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 (7.8%)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058F62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25</w:t>
            </w:r>
          </w:p>
          <w:p w14:paraId="5FE77C9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(49.0%)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EA4CCC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350F983"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4.23</w:t>
            </w:r>
          </w:p>
        </w:tc>
      </w:tr>
      <w:tr w:rsidR="00FB33D3" w14:paraId="121BC5D5"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EA35F8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lastRenderedPageBreak/>
              <w:t>10. Öğrencilere güvenini ve onların becerilerine olan inancını göstermeleri için fırsatlar yaratma</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C9429E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B17C8A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A786FD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966D95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9AD3A8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(41.1%)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5AADE9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7299A92"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4.13</w:t>
            </w:r>
          </w:p>
        </w:tc>
      </w:tr>
      <w:tr w:rsidR="00FB33D3" w14:paraId="09798D2C"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E813A5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11. Başarıları takdir etme</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EA8242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37EB78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F531F4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42E3452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3E0ADA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D72BA4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560409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(43.1%)</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89B50DA"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4.23</w:t>
            </w:r>
          </w:p>
        </w:tc>
      </w:tr>
      <w:tr w:rsidR="00FB33D3" w14:paraId="6E87DEC5"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729798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12. Stratejik düşünme ve davranma</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D27C76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A1A477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D35444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F8A192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FF415E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25</w:t>
            </w:r>
          </w:p>
          <w:p w14:paraId="51F9413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(49.0%)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247D66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8F87405"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4.25</w:t>
            </w:r>
          </w:p>
        </w:tc>
      </w:tr>
      <w:tr w:rsidR="00FB33D3" w14:paraId="634FE26A"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D7A2E9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13. Kısa ve uzun vadeli hedef koyabilme ve hedefleri yakalayabilme</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35B316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C82F35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6BE2FE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940FFA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D9C3C6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25</w:t>
            </w:r>
          </w:p>
          <w:p w14:paraId="6DC5FEA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(49.0%)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FC63DC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33CECA9"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4.21</w:t>
            </w:r>
          </w:p>
        </w:tc>
      </w:tr>
      <w:tr w:rsidR="00FB33D3" w14:paraId="632D44E3"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AADE03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14. Öğrenciler arası sağlıklı ilişkilerin ve iletişimin gelişmesi için gerekli çabayı gösterme</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B8054E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547275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65BC4E1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40D291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7ED410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3E55B5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0ED638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E1127B6"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4.11</w:t>
            </w:r>
          </w:p>
        </w:tc>
      </w:tr>
      <w:tr w:rsidR="00FB33D3" w14:paraId="0D329BE3"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AB8A0A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15. Üniversitenin, Fakültenin hedef ve politikalarının gerçekleşebilmesi için kaynakları ve hedefleri göz önünde tutarak yaratıcı öneriler ve yenilikler getirme</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7F8034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0A2A81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B183AF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6B9B458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EC69CE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 (17.6%)</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47E8D4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5FDE50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849403F"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4.15</w:t>
            </w:r>
          </w:p>
        </w:tc>
      </w:tr>
      <w:tr w:rsidR="00FB33D3" w14:paraId="21466A5E"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99315A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16. Dış paydaşlarla hedefe odaklı güvenli ilişkiler kurma ve temsil etme</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AB183E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71CFFA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E890E0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AECD4C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10 (19.6%)</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AAB97C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3EAA40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18 (35.3%)</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BA4831A"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4.15</w:t>
            </w:r>
          </w:p>
        </w:tc>
      </w:tr>
      <w:tr w:rsidR="00FB33D3" w14:paraId="000BC388"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56B5D9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 Dış paydaşlara kurumsal ciddiyeti ile yaklaşma</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2F2EBC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C4B534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0C5E66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32454E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3D931A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E538FF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6C5DF13"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4.17</w:t>
            </w:r>
          </w:p>
        </w:tc>
      </w:tr>
      <w:tr w:rsidR="00FB33D3" w14:paraId="5A24761C" w14:textId="77777777" w:rsidTr="00E53D7D">
        <w:tc>
          <w:tcPr>
            <w:tcW w:w="449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E58F3E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18. Dış paydaşların problemleri konusunda acil çözümler üretebilme veya çözebilecek birimlere aktararak takipçi olma</w:t>
            </w:r>
          </w:p>
        </w:tc>
        <w:tc>
          <w:tcPr>
            <w:tcW w:w="5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591A0F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ED7EB4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C69152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65E1CC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383491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25 (49.0%)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E991EF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 (33.3%)</w:t>
            </w:r>
          </w:p>
        </w:tc>
        <w:tc>
          <w:tcPr>
            <w:tcW w:w="635"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3471CB1"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4.13</w:t>
            </w:r>
          </w:p>
        </w:tc>
      </w:tr>
      <w:tr w:rsidR="00FB33D3" w14:paraId="5F17ADE0" w14:textId="77777777" w:rsidTr="00E53D7D">
        <w:tc>
          <w:tcPr>
            <w:tcW w:w="449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3D3F8C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Paydaşlar (öğrenci, akademik, idari personel) arasında problem çıktığında, profesyonelce problemi çözümleme</w:t>
            </w:r>
          </w:p>
        </w:tc>
        <w:tc>
          <w:tcPr>
            <w:tcW w:w="5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5FBA44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1DA74F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4C6DA0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BA77A1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30390A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24 (47.1%)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AD06D3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5"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8FBCDEC" w14:textId="77777777" w:rsidR="00FB33D3" w:rsidRDefault="00FB33D3" w:rsidP="00E53D7D">
            <w:pPr>
              <w:spacing w:after="0" w:line="260" w:lineRule="auto"/>
              <w:jc w:val="both"/>
              <w:rPr>
                <w:rFonts w:ascii="Times New Roman" w:hAnsi="Times New Roman" w:cs="Times New Roman"/>
                <w:b/>
                <w:bCs/>
                <w:sz w:val="20"/>
                <w:szCs w:val="20"/>
              </w:rPr>
            </w:pPr>
            <w:r>
              <w:rPr>
                <w:rFonts w:ascii="Times New Roman" w:hAnsi="Times New Roman" w:cs="Times New Roman"/>
                <w:b/>
                <w:bCs/>
                <w:sz w:val="20"/>
                <w:szCs w:val="20"/>
              </w:rPr>
              <w:t>4.19</w:t>
            </w:r>
          </w:p>
        </w:tc>
      </w:tr>
    </w:tbl>
    <w:p w14:paraId="2A764DBB" w14:textId="77777777" w:rsidR="00FB33D3" w:rsidRDefault="00FB33D3" w:rsidP="00FB33D3">
      <w:pPr>
        <w:spacing w:before="160" w:after="120" w:line="360" w:lineRule="auto"/>
        <w:jc w:val="both"/>
        <w:rPr>
          <w:rFonts w:ascii="Times New Roman" w:hAnsi="Times New Roman" w:cs="Times New Roman"/>
          <w:sz w:val="24"/>
          <w:szCs w:val="24"/>
        </w:rPr>
      </w:pPr>
      <w:r>
        <w:rPr>
          <w:rFonts w:ascii="Times New Roman" w:hAnsi="Times New Roman" w:cs="Times New Roman"/>
          <w:sz w:val="24"/>
          <w:szCs w:val="24"/>
        </w:rPr>
        <w:t>Tablodaki sonuçlar incelendiğinde, dekanın "7. Farklı verileri toparlayarak analiz etme, karmaşık konuları çözüme kavuşturma" maddesinde %78.4 oranında "Kesinlikle Katılıyorum" yanıtı aldığı dikkat çekmektedir. Benzer şekilde "5. Bilgi aktarımında öğrencinin anlayabileceği şekilde anlatma, bilgiye işlerlik kazandırma" (%45.1), "6. Konusuyla ilgili her türlü problemlerde başvurulacak kişi olma" (%45.1), "4. Tüm öğrencilere adaletli davranma" (%43.1) ve “11. Başarıları takdir etme” (43.1) maddelerinde de yüksek düzeyde olumlu değerlendirmeler yapılmıştır. Genel olarak değerlendirildiğinde, öğrencilerin dekanın yönetici yetkinlik performansından memnun olduğu söylenebilir (Tablo 17).</w:t>
      </w:r>
    </w:p>
    <w:p w14:paraId="1790D33B"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HEMŞİRELİK BÖLÜMÜ</w:t>
      </w:r>
    </w:p>
    <w:p w14:paraId="2A043F2C"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Değerlendirilen Yönetici</w:t>
      </w:r>
    </w:p>
    <w:p w14:paraId="7FF8526C"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Dekan Yardımcısı</w:t>
      </w:r>
    </w:p>
    <w:p w14:paraId="747EF876"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Hemşirelik Bölümü öğrencilerinin Dekan Yardımcısı hakkındaki değerlendirme sonuçları aşağıdaki tabloda sunulmuştur. Dekan Yardımcısı için genel ortalama 4.27 olarak hesaplanmıştır. Bu değer, Likert ölçeğinde "Katılıyorum" düzeyine karşılık gelmekte olup, dekan değerlendirmesiyle benzer bir profil çizmektedir. Üç yönetici arasında en yüksek değerlendirmeyi alan yönetici dekan yardımcısı olmuştur. </w:t>
      </w:r>
    </w:p>
    <w:p w14:paraId="460EB10A"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 yüksek ortalama "7. Farklı verileri toparlayarak analiz etme, karmaşık konuları çözüme kavuşturma" maddesinde (4.80) elde edilirken, en düşük ortalama "4. Tüm öğrencilere adaletli davranma" maddesinde (4.07) gözlemlenmiştir. Tıpkı dekan değerlendirmesinde olduğu gibi, verileri analiz etme yetkinliği en yüksek puanı alan madde olmuştur. Tüm öğrencilere adaletli davranma ise yine en düşük değerlendirmeyi almıştır. Bu durum, öğrencilere adaletli davranma konusunda dekan yardımcısından daha fazla beklenti içinde olduğunu göstermektedir (Tablo 18).</w:t>
      </w:r>
    </w:p>
    <w:p w14:paraId="3CAAB54F" w14:textId="77777777" w:rsidR="00FB33D3" w:rsidRDefault="00FB33D3" w:rsidP="00FB33D3">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Tablo 18: </w:t>
      </w:r>
      <w:r>
        <w:rPr>
          <w:rFonts w:ascii="Times New Roman" w:hAnsi="Times New Roman" w:cs="Times New Roman"/>
          <w:sz w:val="24"/>
          <w:szCs w:val="24"/>
        </w:rPr>
        <w:t>Dekan Yardımcısı Yetkinlik Değerlendirmesi Frekans Dağılımı ve Ortalamaları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56"/>
        <w:gridCol w:w="503"/>
        <w:gridCol w:w="710"/>
        <w:gridCol w:w="710"/>
        <w:gridCol w:w="810"/>
        <w:gridCol w:w="810"/>
        <w:gridCol w:w="810"/>
        <w:gridCol w:w="617"/>
      </w:tblGrid>
      <w:tr w:rsidR="00FB33D3" w14:paraId="4A515C0B"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7BFA680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Madde</w:t>
            </w:r>
          </w:p>
        </w:tc>
        <w:tc>
          <w:tcPr>
            <w:tcW w:w="534"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50757D3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N</w:t>
            </w:r>
          </w:p>
        </w:tc>
        <w:tc>
          <w:tcPr>
            <w:tcW w:w="603"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46520C3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1</w:t>
            </w:r>
          </w:p>
        </w:tc>
        <w:tc>
          <w:tcPr>
            <w:tcW w:w="603"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54AA596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2</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2635186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3</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5DF588D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4</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2F8FC27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5</w:t>
            </w:r>
          </w:p>
        </w:tc>
        <w:tc>
          <w:tcPr>
            <w:tcW w:w="637"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39248D6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color w:val="FFFFFF"/>
                <w:sz w:val="20"/>
                <w:szCs w:val="20"/>
              </w:rPr>
              <w:t>Ort.</w:t>
            </w:r>
          </w:p>
        </w:tc>
      </w:tr>
      <w:tr w:rsidR="00FB33D3" w14:paraId="69B6C471"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E44F19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Ayrıntılarda boğulmadan ve ayrıntıları atlamadan işi gerektirdiği şekilde sonuçlandırma (sonuç odaklı çalışma)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5F5987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9E68F7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D1B266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59CB9D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89191E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397BC0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F15930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4.25</w:t>
            </w:r>
          </w:p>
        </w:tc>
      </w:tr>
      <w:tr w:rsidR="00FB33D3" w14:paraId="7E2E3FED"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39B0CC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 Öğrencilerin yeteneklerini hedefler konusunda değerlendirme, doğru zamanda doğru yönlendirme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E45ED1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BA520B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8E4B70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794EDB1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136EC52"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p>
          <w:p w14:paraId="1314FB3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6F5C592"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DA9370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FB1AC5D"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4.19</w:t>
            </w:r>
          </w:p>
        </w:tc>
      </w:tr>
      <w:tr w:rsidR="00FB33D3" w14:paraId="5E749F70"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F5766A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 Öğrencileri geliştirecek yöneticilik faaliyetlerine daha çok zaman ayırma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708E7C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BB1C85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4E5E964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DB80D3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38E0C922"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290ED61"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CEF556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4AC9FA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D764CF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4.11</w:t>
            </w:r>
          </w:p>
        </w:tc>
      </w:tr>
      <w:tr w:rsidR="00FB33D3" w14:paraId="1F153474"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B156C7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 Tüm öğrencilere adaletli davranma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FF011B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7E366B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69E7D21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D73C04D"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CA5452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p w14:paraId="4B5ADAA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7844C8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p w14:paraId="2978D8E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(35.3%)</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C259AC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p w14:paraId="69B009CD"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(41.2%)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174F62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4.07</w:t>
            </w:r>
          </w:p>
        </w:tc>
      </w:tr>
      <w:tr w:rsidR="00FB33D3" w14:paraId="1C16A90D"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B8A15A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Bilgi aktarımında öğrencinin anlayabileceği şekilde anlatma, bilgiye işlerlik kazandırma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B6D03B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033E30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199B78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1224EB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C31D34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E838271"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 (47.1%)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6300AA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4.31</w:t>
            </w:r>
          </w:p>
        </w:tc>
      </w:tr>
      <w:tr w:rsidR="00FB33D3" w14:paraId="31F095D7"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C602A8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Konusuyla ilgili her türlü problemlerde başvurulacak kişi olma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04BFF2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E87E53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E71405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9BEAEF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34AED4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 (31.4%)</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C7DBBC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25 (49.0%)</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E9A566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4.19</w:t>
            </w:r>
          </w:p>
        </w:tc>
      </w:tr>
      <w:tr w:rsidR="00FB33D3" w14:paraId="0A2C5EB7"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5B1216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 Farklı verileri toparlayarak analiz etme, karmaşık konuları çözüme kavuşturma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75B9DD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0C36C7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424FAE1"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9B967E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58D4BA6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3FFCA0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p w14:paraId="36F6226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B924AD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45 (88.2%)</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64E054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4.80</w:t>
            </w:r>
          </w:p>
        </w:tc>
      </w:tr>
      <w:tr w:rsidR="00FB33D3" w14:paraId="76305F83"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33A4C9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 Öğrencilerin orta ve uzun dönemli kariyer beklentileri ve gelişme fırsatları konusunda yol gösterici olma (Bilimsel, sanatsal ve kültürel etkinliklerden haberdar etme ve/veya düzenlenmesine önderlik etme)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E9A6E2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5812B82"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76EE36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417DE9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2C1E77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3DABAE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941A3A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4.21</w:t>
            </w:r>
          </w:p>
        </w:tc>
      </w:tr>
      <w:tr w:rsidR="00FB33D3" w14:paraId="08B30D97"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8CD0B9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 Öğrencilerin akademik gelişimini desteklemek, motive etmek</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D437CF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11D33D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85BB15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60AEA9A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7AF1FB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4619F1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 (33.3%)</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020A10D"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p w14:paraId="6ECF40F1"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FFB59D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4.23</w:t>
            </w:r>
          </w:p>
        </w:tc>
      </w:tr>
      <w:tr w:rsidR="00FB33D3" w14:paraId="0BE165D4"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81D03F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 Öğrencilere güvenini ve onların becerilerine olan inancını göstermeleri için fırsatlar yaratma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C2DF7B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A85114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DF4BCE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51003AF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0E30D6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p w14:paraId="7185923D"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C4810F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3C0AA3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14F579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4.17</w:t>
            </w:r>
          </w:p>
        </w:tc>
      </w:tr>
      <w:tr w:rsidR="00FB33D3" w14:paraId="52B6DA59"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10C1B41"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 Başarıları takdir etme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87E710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5C28F9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40AF48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1354087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9D53E6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p w14:paraId="24C8D83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81B1F5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38E9F1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179A4E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4.21</w:t>
            </w:r>
          </w:p>
        </w:tc>
      </w:tr>
      <w:tr w:rsidR="00FB33D3" w14:paraId="73CE64A7"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BE3724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 Stratejik düşünme ve davranma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FA407D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2CE0BE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5ABE20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E0C08F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p w14:paraId="4EC06FA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787380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97E05E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2B5CEE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4.25</w:t>
            </w:r>
          </w:p>
        </w:tc>
      </w:tr>
      <w:tr w:rsidR="00FB33D3" w14:paraId="34079919"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FF84F7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 Kısa ve uzun vadeli hedef koyabilme ve hedefleri yakalayabilme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40E026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87F897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FC9050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DD2A7E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p w14:paraId="357EF70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2D8437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DA0868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2564E5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4.31</w:t>
            </w:r>
          </w:p>
        </w:tc>
      </w:tr>
      <w:tr w:rsidR="00FB33D3" w14:paraId="2E70B3E0"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28930D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 Öğrenciler arası sağlıklı ilişkilerin ve iletişimin gelişmesi için gerekli çabayı gösterme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423A35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63EF8E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8DFB91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59CD8FC2"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E10F9D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p>
          <w:p w14:paraId="2C4D8A51"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5C01DC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642C7F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AFE077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4.19</w:t>
            </w:r>
          </w:p>
        </w:tc>
      </w:tr>
      <w:tr w:rsidR="00FB33D3" w14:paraId="456CD801"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4B15DD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 Üniversitenin, Fakültenin hedef ve politikalarının gerçekleşebilmesi için kaynakları ve hedefleri göz önünde tutarak yaratıcı öneriler ve yenilikler getirme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3699CD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5B252CC"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51F378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9A1DA3D"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13DFF5F"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27AB59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895C9D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4B0F9F81"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BA7803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 Dış paydaşlarla hedefe odaklı güvenli ilişkiler kurma ve temsil etme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3EEC6B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A4A941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A1F9A2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96ACB8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p w14:paraId="010EB46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C2C0D18"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p w14:paraId="30FF093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312655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w:t>
            </w:r>
          </w:p>
          <w:p w14:paraId="33C71D61"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(45.1%)</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8BECEC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4.35</w:t>
            </w:r>
          </w:p>
        </w:tc>
      </w:tr>
      <w:tr w:rsidR="00FB33D3" w14:paraId="4DD90F70"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166F16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17. Dış paydaşlara kurumsal ciddiyeti ile yaklaşma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547D89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04C8FA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42F534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69BB12D"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 (7.8%)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DE8DD0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973E23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 (47.1%)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DB9D97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4.39</w:t>
            </w:r>
          </w:p>
        </w:tc>
      </w:tr>
      <w:tr w:rsidR="00FB33D3" w14:paraId="29B8812B"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B3207A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 Dış paydaşların problemleri konusunda acil çözümler üretebilme veya çözebilecek birimlere aktararak takipçi olma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95CE5A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BE29919"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F1829B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D058FA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p w14:paraId="6964AD4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658F5D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27</w:t>
            </w:r>
          </w:p>
          <w:p w14:paraId="2DDCA3B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(52.9%)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48125B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p w14:paraId="69913BA4"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(41.2%)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3A9F213"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4.35</w:t>
            </w:r>
          </w:p>
        </w:tc>
      </w:tr>
      <w:tr w:rsidR="00FB33D3" w14:paraId="682C9834"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640264A"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 Paydaşlar (öğrenci, akademik, idari personel) arasında problem çıktığında, profesyonelce problemi çözümleme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609AC4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C2370B2"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6A72007"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p w14:paraId="44846B55"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7167DF6"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4EB174B"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p w14:paraId="69E9525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(54.9%)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707BE80"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p w14:paraId="3F23FC82"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(39.2%)</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29AD00E" w14:textId="77777777" w:rsidR="00FB33D3" w:rsidRDefault="00FB33D3" w:rsidP="00E53D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4.29</w:t>
            </w:r>
          </w:p>
        </w:tc>
      </w:tr>
    </w:tbl>
    <w:p w14:paraId="11D7EB0B" w14:textId="77777777" w:rsidR="00FB33D3" w:rsidRDefault="00FB33D3" w:rsidP="00FB33D3">
      <w:pPr>
        <w:spacing w:before="160" w:after="120" w:line="360" w:lineRule="auto"/>
        <w:jc w:val="both"/>
        <w:rPr>
          <w:rFonts w:ascii="Times New Roman" w:hAnsi="Times New Roman" w:cs="Times New Roman"/>
          <w:sz w:val="24"/>
          <w:szCs w:val="24"/>
        </w:rPr>
      </w:pPr>
      <w:r>
        <w:rPr>
          <w:rFonts w:ascii="Times New Roman" w:hAnsi="Times New Roman" w:cs="Times New Roman"/>
          <w:sz w:val="24"/>
          <w:szCs w:val="24"/>
        </w:rPr>
        <w:t>Dekan yardımcısının değerlendirme sonuçları incelendiğinde, "7. Farklı verileri toparlayarak analiz etme, karmaşık konuları çözüme kavuşturma" maddesinde %88.2 oranında "Kesinlikle Katılıyorum" yanıtı alındığı görülmektedir. "6. Konusuyla ilgili her türlü problemlerde başvurulacak kişi olma " (%49.0), "5. Bilgi aktarımında öğrencinin anlayabileceği şekilde anlatma, bilgiye işlerlik kazandırma" (%47.1), “9. Öğrencilerin akademik gelişimini desteklemek, motive etmek” (%47.1) ve "17. Dış paydaşlara kurumsal ciddiyeti ile yaklaşma" (%47.1) maddelerinde de yüksek "Kesinlikle Katılıyorum" oranları dikkat çekmektedir. Genel olarak değerlendirildiğinde, öğrencilerin dekan yardımcısının yönetici yetkinlik performansından memnun olduğu söylenebilir (Tablo 18).</w:t>
      </w:r>
    </w:p>
    <w:p w14:paraId="2360CAE8"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HEMŞİRELİK BÖLÜMÜ</w:t>
      </w:r>
    </w:p>
    <w:p w14:paraId="5354EBD0"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Değerlendirilen Yönetici</w:t>
      </w:r>
    </w:p>
    <w:p w14:paraId="7BE779FA" w14:textId="77777777" w:rsidR="00FB33D3" w:rsidRDefault="00FB33D3" w:rsidP="00FB33D3">
      <w:pPr>
        <w:spacing w:after="0" w:line="360" w:lineRule="auto"/>
        <w:jc w:val="both"/>
        <w:rPr>
          <w:rFonts w:ascii="Times New Roman" w:hAnsi="Times New Roman" w:cs="Times New Roman"/>
          <w:b/>
          <w:bCs/>
          <w:color w:val="0000FF"/>
          <w:sz w:val="24"/>
          <w:szCs w:val="24"/>
        </w:rPr>
      </w:pPr>
      <w:r>
        <w:rPr>
          <w:rFonts w:ascii="Times New Roman" w:hAnsi="Times New Roman" w:cs="Times New Roman"/>
          <w:b/>
          <w:bCs/>
          <w:color w:val="0000FF"/>
          <w:sz w:val="24"/>
          <w:szCs w:val="24"/>
        </w:rPr>
        <w:t>Bölüm Başkanı</w:t>
      </w:r>
    </w:p>
    <w:p w14:paraId="7A3F6FD7"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Hemşirelik Bölümü öğrencilerinin Bölüm Başkanı hakkındaki değerlendirme sonuçları aşağıdaki tabloda sunulmuştur. Bölüm Başkanı için genel ortalama 4.25 olarak hesaplanmıştır. Bu değer, Likert ölçeğinde "Kesinlikle Katılıyorum" düzeyine oldukça yakın olup, dekan ve dekan yardımcısı değerlendirmesiyle benzer bir profil çizmektedir.</w:t>
      </w:r>
    </w:p>
    <w:p w14:paraId="6EB28D41"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yüksek ortalama "7. Farklı verileri toparlayarak analiz etme, karmaşık konuları çözüme kavuşturma" maddesinde (4.78) elde edilirken, en düşük ortalama "2. Öğrencilerin yeteneklerini hedefler konusunda değerlendirme, doğru zamanda doğru yönlendirme" maddesinde (4.05) gözlemlenmiştir. Bölüm başkanının en yüksek puanı aldığı "verileri analiz etme ve çözüme kavuşturma" maddesinde %84.3 oranında "Kesinlikle Katılıyorum" yanıtı verilmiştir ki bu oran oldukça dikkat çekicidir. Bölüm başkanının öğrencilerle doğrudan ve yakın iletişim içinde olmasının bu yüksek değerlendirmelere olumlu katkı sağladığı düşünülmektedir  (Tablo 19).</w:t>
      </w:r>
    </w:p>
    <w:p w14:paraId="52E1E415"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Tablo 19: </w:t>
      </w:r>
      <w:r>
        <w:rPr>
          <w:rFonts w:ascii="Times New Roman" w:hAnsi="Times New Roman" w:cs="Times New Roman"/>
          <w:sz w:val="24"/>
          <w:szCs w:val="24"/>
        </w:rPr>
        <w:t>Bölüm Başkanı Yetkinlik Değerlendirmesi Frekans Dağılımı ve Ortalamaları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56"/>
        <w:gridCol w:w="503"/>
        <w:gridCol w:w="710"/>
        <w:gridCol w:w="710"/>
        <w:gridCol w:w="810"/>
        <w:gridCol w:w="810"/>
        <w:gridCol w:w="810"/>
        <w:gridCol w:w="617"/>
      </w:tblGrid>
      <w:tr w:rsidR="00FB33D3" w14:paraId="257227AC"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3EF7E20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Madde</w:t>
            </w:r>
          </w:p>
        </w:tc>
        <w:tc>
          <w:tcPr>
            <w:tcW w:w="534"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46A61B2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N</w:t>
            </w:r>
          </w:p>
        </w:tc>
        <w:tc>
          <w:tcPr>
            <w:tcW w:w="603"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6D6D6CE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1</w:t>
            </w:r>
          </w:p>
        </w:tc>
        <w:tc>
          <w:tcPr>
            <w:tcW w:w="603"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19F6E44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2</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2FA0714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3</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39258EF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4</w:t>
            </w:r>
          </w:p>
        </w:tc>
        <w:tc>
          <w:tcPr>
            <w:tcW w:w="689"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70E9CCE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5</w:t>
            </w:r>
          </w:p>
        </w:tc>
        <w:tc>
          <w:tcPr>
            <w:tcW w:w="637"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5467995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Ort.</w:t>
            </w:r>
          </w:p>
        </w:tc>
      </w:tr>
      <w:tr w:rsidR="00FB33D3" w14:paraId="5EB1A5CF"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768CA8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Ayrıntılarda boğulmadan ve ayrıntıları atlamadan işi gerektirdiği şekilde sonuçlandırma (sonuç odaklı çalışma)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A2D623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A1EEB3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F3399F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9A7716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w:t>
            </w:r>
          </w:p>
          <w:p w14:paraId="77B644D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67D11A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24</w:t>
            </w:r>
          </w:p>
          <w:p w14:paraId="271B0A1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(47.1%)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35DCBD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0621AF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4.19</w:t>
            </w:r>
          </w:p>
        </w:tc>
      </w:tr>
      <w:tr w:rsidR="00FB33D3" w14:paraId="016B126E"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032F0D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lastRenderedPageBreak/>
              <w:t>2. Öğrencilerin yeteneklerini hedefler konusunda değerlendirme, doğru zamanda doğru yönlendirme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D4EE8A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74072D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E82549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8F4A87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12 (23.5%)</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CF05F5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w:t>
            </w:r>
          </w:p>
          <w:p w14:paraId="7C871CB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(41.2%)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6669A6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w:t>
            </w:r>
          </w:p>
          <w:p w14:paraId="093F867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(33.3%)</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515690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4.05</w:t>
            </w:r>
          </w:p>
        </w:tc>
      </w:tr>
      <w:tr w:rsidR="00FB33D3" w14:paraId="41D43A62"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3AEB41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 Öğrencileri geliştirecek yöneticilik faaliyetlerine daha çok zaman ayırma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040B88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DF4831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855589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D33F61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w:t>
            </w:r>
          </w:p>
          <w:p w14:paraId="6D749F6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E14247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5C787E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(37.3%)</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2B4816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4.15</w:t>
            </w:r>
          </w:p>
        </w:tc>
      </w:tr>
      <w:tr w:rsidR="00FB33D3" w14:paraId="1F3E61B3"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5D09AC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 Tüm öğrencilere adaletli davranma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ECE30E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7364C9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3924BAF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1261AA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3DD87E7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57844E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1F7B85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768CA4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w:t>
            </w:r>
          </w:p>
          <w:p w14:paraId="0A26229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(41.2%)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4092E3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4.09</w:t>
            </w:r>
          </w:p>
        </w:tc>
      </w:tr>
      <w:tr w:rsidR="00FB33D3" w14:paraId="1191F233"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736DD9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Bilgi aktarımında öğrencinin anlayabileceği şekilde anlatma, bilgiye işlerlik kazandırma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EDF508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8213C1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E0BDBA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7F7966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052A2D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D3F259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A92173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r>
      <w:tr w:rsidR="00FB33D3" w14:paraId="6F35E10E"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705581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Konusuyla ilgili her türlü problemlerde başvurulacak kişi olma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311EBE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193226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49BB96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w:t>
            </w:r>
          </w:p>
          <w:p w14:paraId="1525C65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537E55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C65B7E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w:t>
            </w:r>
          </w:p>
          <w:p w14:paraId="554D2AC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(41.2%)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C6FED6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CF3C76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r>
      <w:tr w:rsidR="00FB33D3" w14:paraId="08A33E09"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107D51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 Farklı verileri toparlayarak analiz etme, karmaşık konuları çözüme kavuşturma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486A8B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D02B09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B3DAD3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82A1D9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w:t>
            </w:r>
          </w:p>
          <w:p w14:paraId="22BE468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8A4A1F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EE6D41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43 (84.3%)</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863D30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4.78</w:t>
            </w:r>
          </w:p>
        </w:tc>
      </w:tr>
      <w:tr w:rsidR="00FB33D3" w14:paraId="312A27D5"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98FA33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Öğrencilerin orta ve uzun dönemli kariyer beklentileri ve gelişme fırsatları konusunda yol gösterici olma (Bilimsel, sanatsal ve kültürel etkinliklerden haberdar etme ve/veya düzenlenmesine önderlik etme)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675DE9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2E9C7C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DA23DF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42F0AC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12</w:t>
            </w:r>
          </w:p>
          <w:p w14:paraId="4BBE933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(23.5%)</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923AEE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w:t>
            </w:r>
          </w:p>
          <w:p w14:paraId="18F8C32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(41.2%)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A63B21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18</w:t>
            </w:r>
          </w:p>
          <w:p w14:paraId="7DB31C8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(35.3%)</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B5A458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4.11</w:t>
            </w:r>
          </w:p>
        </w:tc>
      </w:tr>
      <w:tr w:rsidR="00FB33D3" w14:paraId="104964B2"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946DD6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 Öğrencilerin akademik gelişimini desteklemek, motive etmek</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EA8E67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09EAE4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29109C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131CAC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w:t>
            </w:r>
          </w:p>
          <w:p w14:paraId="7E3DDF5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6AD96F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C849E4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23 (45.1%)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6B9C86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4.31</w:t>
            </w:r>
          </w:p>
        </w:tc>
      </w:tr>
      <w:tr w:rsidR="00FB33D3" w14:paraId="672CF596"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AA8B54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10. Öğrencilere güvenini ve onların becerilerine olan inancını göstermeleri için fırsatlar yaratma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53EB8C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244C58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359935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E767A9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w:t>
            </w:r>
          </w:p>
          <w:p w14:paraId="524B15E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595222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54C121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25E4FE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4.21</w:t>
            </w:r>
          </w:p>
        </w:tc>
      </w:tr>
      <w:tr w:rsidR="00FB33D3" w14:paraId="1DC38FED"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2D6681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11. Başarıları takdir etme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6630F3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14BB64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09CA0F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3D77E5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w:t>
            </w:r>
          </w:p>
          <w:p w14:paraId="6D16B74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B83142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EA9473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F1E703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4.29</w:t>
            </w:r>
          </w:p>
        </w:tc>
      </w:tr>
      <w:tr w:rsidR="00FB33D3" w14:paraId="2AC0CBEB"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275356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12. Stratejik düşünme ve davranma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58FE85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CD07B8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51F35B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95D9C1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73A88C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B9F2E3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4BDA71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223494B0"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15BBBA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13. Kısa ve uzun vadeli hedef koyabilme ve hedefleri yakalayabilme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73BDCB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E8F8F3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476A52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6AB618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(11.8%)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7CA2C8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25 (49.0%)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21AE36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C92AE4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2CF71088"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638F4E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14. Öğrenciler arası sağlıklı ilişkilerin ve iletişimin gelişmesi için gerekli çabayı gösterme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2195C3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1F3EA0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565B09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93349A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w:t>
            </w:r>
          </w:p>
          <w:p w14:paraId="2F9C4A4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9DA38B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25 (49.0%)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3BFBEA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E018FD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4.35</w:t>
            </w:r>
          </w:p>
        </w:tc>
      </w:tr>
      <w:tr w:rsidR="00FB33D3" w14:paraId="4956F80D"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D41EF7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15. Üniversitenin, Fakültenin hedef ve politikalarının gerçekleşebilmesi için kaynakları ve hedefleri göz önünde tutarak yaratıcı öneriler ve yenilikler getirme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58BD18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FF26EE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295709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A0DB83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(15.7%)</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B61AC0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D11D81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22 (43.1%)</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09BF01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r>
      <w:tr w:rsidR="00FB33D3" w14:paraId="50EE5AF2"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876E61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16. Dış paydaşlarla hedefe odaklı güvenli ilişkiler kurma ve temsil etme</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464B76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6DC97C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7B6768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DEE8B8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w:t>
            </w:r>
          </w:p>
          <w:p w14:paraId="236AF25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8DFAD9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26</w:t>
            </w:r>
          </w:p>
          <w:p w14:paraId="1813B70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76239D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21 (41.2%)</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E5228A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4.33</w:t>
            </w:r>
          </w:p>
        </w:tc>
      </w:tr>
      <w:tr w:rsidR="00FB33D3" w14:paraId="15F562B7"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323CC4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 Dış paydaşlara kurumsal ciddiyeti ile yaklaşma</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F61B6B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2AC217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08BA91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8E3BF2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(9.8%)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4296AE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27</w:t>
            </w:r>
          </w:p>
          <w:p w14:paraId="13F5EB3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(52.9%)</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C4C8C2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w:t>
            </w:r>
          </w:p>
          <w:p w14:paraId="7FA93D0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(37.3%)</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A96603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011A1304" w14:textId="77777777" w:rsidTr="00E53D7D">
        <w:tc>
          <w:tcPr>
            <w:tcW w:w="4582"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1D8C65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18. Dış paydaşların problemleri konusunda acil çözümler üretebilme veya çözebilecek birimlere aktararak takipçi olma</w:t>
            </w:r>
          </w:p>
        </w:tc>
        <w:tc>
          <w:tcPr>
            <w:tcW w:w="534"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43D085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475AF3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1CF0DC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F501B0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 (7.8%)</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F29BAE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29 (56.9%)</w:t>
            </w:r>
          </w:p>
        </w:tc>
        <w:tc>
          <w:tcPr>
            <w:tcW w:w="689"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EF4F8B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18</w:t>
            </w:r>
          </w:p>
          <w:p w14:paraId="66F5ECB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(35.3%)</w:t>
            </w:r>
          </w:p>
        </w:tc>
        <w:tc>
          <w:tcPr>
            <w:tcW w:w="637"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387858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5A2AD4DD" w14:textId="77777777" w:rsidTr="00E53D7D">
        <w:tc>
          <w:tcPr>
            <w:tcW w:w="4582"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0582FC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Paydaşlar (öğrenci, akademik, idari personel) arasında problem çıktığında, profesyonelce problemi çözümleme</w:t>
            </w:r>
          </w:p>
        </w:tc>
        <w:tc>
          <w:tcPr>
            <w:tcW w:w="534"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22EEA3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CDD543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0 (0.0%)</w:t>
            </w:r>
          </w:p>
        </w:tc>
        <w:tc>
          <w:tcPr>
            <w:tcW w:w="603"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1F4C04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(2.0%)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58279F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 (7.8%)</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98E5F8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26</w:t>
            </w:r>
          </w:p>
          <w:p w14:paraId="65F2E97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(51.0%)</w:t>
            </w:r>
          </w:p>
        </w:tc>
        <w:tc>
          <w:tcPr>
            <w:tcW w:w="689"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2F2B7E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20 (39.2%)</w:t>
            </w:r>
          </w:p>
        </w:tc>
        <w:tc>
          <w:tcPr>
            <w:tcW w:w="637"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48695B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bl>
    <w:p w14:paraId="38350963"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Bölüm başkanının değerlendirme sonuçları incelendiğinde, "7. Farklı verileri toparlayarak analiz etme, karmaşık konuları çözüme kavuşturma" maddesinde %84.3 oranında "Kesinlikle Katılıyorum" yanıtı alındığı görülmektedir. "9. Öğrencilerin akademik gelişimini desteklemek, motive etmek" (%45.1), "6. Konusuyla ilgili her türlü problemlerde başvurulacak kişi olma" </w:t>
      </w:r>
      <w:r>
        <w:rPr>
          <w:rFonts w:ascii="Times New Roman" w:hAnsi="Times New Roman" w:cs="Times New Roman"/>
          <w:sz w:val="24"/>
          <w:szCs w:val="24"/>
        </w:rPr>
        <w:lastRenderedPageBreak/>
        <w:t>(%43.1), “11. Başarıları takdir etme” (%43.1), “12. Stratejik düşünme ve davranma” (43.1), “14. Öğrenciler arası sağlıklı ilişkilerin ve iletişimin gelişmesi için gerekli çabayı gösterme” (%43.1) ve “15. Üniversitenin, Fakültenin hedef ve politikalarının gerçekleşebilmesi için kaynakları ve hedefleri göz önünde tutarak yaratıcı öneriler ve yenilikler getirme” (%43.1)  maddelerinde de yüksek "Kesinlikle Katılıyorum" oranları dikkat çekmektedir. Genel olarak değerlendirildiğinde, öğrencilerin bölüm başkanının yönetici yetkinlik performansından memnun olduğu söylenebilir. Bölüm başkanının "Katılmıyorum" yanıtlarının çok düşük oranlarda olması, öğrencilerin bölüm başkanının yönetici yetkinlik performansından yüksek düzeyde memnun olduğunu göstermektedir (Tablo 19).</w:t>
      </w:r>
    </w:p>
    <w:p w14:paraId="65B5F267" w14:textId="77777777" w:rsidR="00FB33D3" w:rsidRDefault="00FB33D3" w:rsidP="00FB33D3">
      <w:pPr>
        <w:pStyle w:val="Balk1"/>
        <w:spacing w:before="0" w:after="0" w:line="360" w:lineRule="auto"/>
        <w:rPr>
          <w:rFonts w:ascii="Times New Roman" w:hAnsi="Times New Roman" w:cs="Times New Roman"/>
          <w:sz w:val="24"/>
          <w:szCs w:val="24"/>
        </w:rPr>
      </w:pPr>
      <w:r>
        <w:rPr>
          <w:rFonts w:ascii="Times New Roman" w:hAnsi="Times New Roman" w:cs="Times New Roman"/>
          <w:sz w:val="24"/>
          <w:szCs w:val="24"/>
        </w:rPr>
        <w:t>5. Yöneticiler Arası Karşılaştırma</w:t>
      </w:r>
    </w:p>
    <w:p w14:paraId="102158A6"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Üç yöneticinin (Dekan, Dekan Yardımcısı ve Bölüm Başkanı) değerlendirme ortalamalarının karşılaştırmalı olarak incelenebilmesi amacıyla aşağıdaki tablo hazırlanmıştır  (Tablo 20).</w:t>
      </w:r>
    </w:p>
    <w:p w14:paraId="6A529C1D"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Tablo 20:</w:t>
      </w:r>
      <w:r>
        <w:rPr>
          <w:rFonts w:ascii="Times New Roman" w:hAnsi="Times New Roman" w:cs="Times New Roman"/>
          <w:b/>
          <w:bCs/>
          <w:i/>
          <w:iCs/>
          <w:sz w:val="24"/>
          <w:szCs w:val="24"/>
        </w:rPr>
        <w:t xml:space="preserve"> </w:t>
      </w:r>
      <w:r>
        <w:rPr>
          <w:rFonts w:ascii="Times New Roman" w:hAnsi="Times New Roman" w:cs="Times New Roman"/>
          <w:sz w:val="24"/>
          <w:szCs w:val="24"/>
        </w:rPr>
        <w:t>Yöneticilerin Madde Bazında Ortalama Karşılaştırması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6"/>
        <w:gridCol w:w="1400"/>
        <w:gridCol w:w="1400"/>
        <w:gridCol w:w="1400"/>
      </w:tblGrid>
      <w:tr w:rsidR="00FB33D3" w14:paraId="49B9A0A8"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7E3BED2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Madde</w:t>
            </w:r>
          </w:p>
        </w:tc>
        <w:tc>
          <w:tcPr>
            <w:tcW w:w="1400"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5C05211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Dekan</w:t>
            </w:r>
          </w:p>
        </w:tc>
        <w:tc>
          <w:tcPr>
            <w:tcW w:w="1400"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4BD282C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Dekan Yrd.</w:t>
            </w:r>
          </w:p>
        </w:tc>
        <w:tc>
          <w:tcPr>
            <w:tcW w:w="1400" w:type="dxa"/>
            <w:tcBorders>
              <w:top w:val="single" w:sz="0" w:space="0" w:color="999999"/>
              <w:left w:val="single" w:sz="0" w:space="0" w:color="999999"/>
              <w:bottom w:val="single" w:sz="0" w:space="0" w:color="999999"/>
              <w:right w:val="single" w:sz="0" w:space="0" w:color="999999"/>
            </w:tcBorders>
            <w:shd w:val="clear" w:color="auto" w:fill="2E75B6"/>
            <w:tcMar>
              <w:top w:w="40" w:type="dxa"/>
              <w:left w:w="80" w:type="dxa"/>
              <w:bottom w:w="40" w:type="dxa"/>
              <w:right w:w="80" w:type="dxa"/>
            </w:tcMar>
            <w:vAlign w:val="center"/>
          </w:tcPr>
          <w:p w14:paraId="65F02B4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color w:val="FFFFFF"/>
                <w:sz w:val="20"/>
                <w:szCs w:val="20"/>
              </w:rPr>
              <w:t>Bölüm Bşk.</w:t>
            </w:r>
          </w:p>
        </w:tc>
      </w:tr>
      <w:tr w:rsidR="00FB33D3" w14:paraId="64FD5A05"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15520A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 Ayrıntılarda boğulmadan ve ayrıntıları atlamadan işi gerektirdiği şekilde sonuçlandırma (sonuç odaklı çalışma)</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9D2756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4.37</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9EF601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4.25</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F4714F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4.19</w:t>
            </w:r>
          </w:p>
        </w:tc>
      </w:tr>
      <w:tr w:rsidR="00FB33D3" w14:paraId="3F0BD057"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673547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2. Öğrencilerin yeteneklerini hedefler konusunda değerlendirme, doğru zamanda doğru yönlendirme</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17D6E7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4.25</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402CAE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4.19</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A2DEDE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4.05</w:t>
            </w:r>
          </w:p>
        </w:tc>
      </w:tr>
      <w:tr w:rsidR="00FB33D3" w14:paraId="5A5948DD"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344804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3. Öğrencileri geliştirecek yöneticilik faaliyetlerine daha çok zaman ayırma</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5F937F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4.09</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4E516B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4.11</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3A41F8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4.15</w:t>
            </w:r>
          </w:p>
        </w:tc>
      </w:tr>
      <w:tr w:rsidR="00FB33D3" w14:paraId="0C4DF8A3"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E4D3E8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4. Tüm öğrencilere adaletli davranma</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46548C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4.11</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CA6559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4.07</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42F0E8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4.09</w:t>
            </w:r>
          </w:p>
        </w:tc>
      </w:tr>
      <w:tr w:rsidR="00FB33D3" w14:paraId="0CD04D52"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6484EA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5. Bilgi aktarımında öğrencinin anlayabileceği şekilde anlatma, bilgiye işlerlik kazandırma</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EFDEA1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E09EED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4.31</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E1B6A7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r>
      <w:tr w:rsidR="00FB33D3" w14:paraId="28FA0245"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E33007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6. Konusuyla ilgili her türlü problemlerde başvurulacak kişi olma</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5A54EC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4.21</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1CC5D6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4.19</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827C69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r>
      <w:tr w:rsidR="00FB33D3" w14:paraId="72FE54B0"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A35D72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7. Farklı verileri toparlayarak analiz etme, karmaşık konuları çözüme kavuşturma</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E8ABA1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4.68</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B1211E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4.80</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F455C9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4.78</w:t>
            </w:r>
          </w:p>
        </w:tc>
      </w:tr>
      <w:tr w:rsidR="00FB33D3" w14:paraId="7138EA72"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203CE7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8. Öğrencilerin orta ve uzun dönemli kariyer beklentileri ve gelişme fırsatları konusunda yol gösterici olma (Bilimsel, sanatsal ve kültürel etkinliklerden haberdar etme ve/veya düzenlenmesine önderlik etme)</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715502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4.11</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7AFB6BD"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4.21</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B0245B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4.11</w:t>
            </w:r>
          </w:p>
        </w:tc>
      </w:tr>
      <w:tr w:rsidR="00FB33D3" w14:paraId="0E309524"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F87125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9. Öğrencilerin akademik gelişimini desteklemek, motive etmek</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BD8A33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0F9A97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4E69D6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4.31</w:t>
            </w:r>
          </w:p>
        </w:tc>
      </w:tr>
      <w:tr w:rsidR="00FB33D3" w14:paraId="02545625"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8D6461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10. Öğrencilere güvenini ve onların becerilerine olan inancını göstermeleri için fırsatlar yaratma</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F4AD8A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4.13</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566A73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4.17</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E287D1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4.21</w:t>
            </w:r>
          </w:p>
        </w:tc>
      </w:tr>
      <w:tr w:rsidR="00FB33D3" w14:paraId="1061CBC4"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78797B0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11. Başarıları takdir etme</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772384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3E5E02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4.21</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4D3E76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4.29</w:t>
            </w:r>
          </w:p>
        </w:tc>
      </w:tr>
      <w:tr w:rsidR="00FB33D3" w14:paraId="084A42EF"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2D2D42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12. Stratejik düşünme ve davranma</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3D21AD9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4.25</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500E4AE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4.25</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F5B9AB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2DDD6254"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23F67B0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13. Kısa ve uzun vadeli hedef koyabilme ve hedefleri yakalayabilme</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1D9A756"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4.21</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5F55D2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4.31</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103122F"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3ABF936E"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111EE6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14. Öğrenciler arası sağlıklı ilişkilerin ve iletişimin gelişmesi için gerekli çabayı gösterme</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7F3E6F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4.11</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72F0941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4.19</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26EABC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4.35</w:t>
            </w:r>
          </w:p>
        </w:tc>
      </w:tr>
      <w:tr w:rsidR="00FB33D3" w14:paraId="0C61C0B1"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287C304"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lastRenderedPageBreak/>
              <w:t>15. Üniversitenin, Fakültenin hedef ve politikalarının gerçekleşebilmesi için kaynakları ve hedefleri göz önünde tutarak yaratıcı öneriler ve yenilikler getirme</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D516B6A"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4.15</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79277C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1909147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4.23</w:t>
            </w:r>
          </w:p>
        </w:tc>
      </w:tr>
      <w:tr w:rsidR="00FB33D3" w14:paraId="5E54681A"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D29FC0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16. Dış paydaşlarla hedefe odaklı güvenli ilişkiler kurma ve temsil etme</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EB6551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4.15</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3EAFDD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4.35</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4918FAA5"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4.33</w:t>
            </w:r>
          </w:p>
        </w:tc>
      </w:tr>
      <w:tr w:rsidR="00FB33D3" w14:paraId="668F2942"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72A975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17. Dış paydaşlara kurumsal ciddiyeti ile yaklaşma</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67FBF18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4.17</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76D2EC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4.39</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42A8F36B"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4FD5A90F" w14:textId="77777777" w:rsidTr="00E53D7D">
        <w:tc>
          <w:tcPr>
            <w:tcW w:w="4826"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1D2EBD9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18. Dış paydaşların problemleri konusunda acil çözümler üretebilme veya çözebilecek birimlere aktararak takipçi olma</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252B2F6E"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4.13</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04C75AF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4.35</w:t>
            </w:r>
          </w:p>
        </w:tc>
        <w:tc>
          <w:tcPr>
            <w:tcW w:w="1400" w:type="dxa"/>
            <w:tcBorders>
              <w:top w:val="single" w:sz="0" w:space="0" w:color="999999"/>
              <w:left w:val="single" w:sz="0" w:space="0" w:color="999999"/>
              <w:bottom w:val="single" w:sz="0" w:space="0" w:color="999999"/>
              <w:right w:val="single" w:sz="0" w:space="0" w:color="999999"/>
            </w:tcBorders>
            <w:tcMar>
              <w:top w:w="40" w:type="dxa"/>
              <w:left w:w="80" w:type="dxa"/>
              <w:bottom w:w="40" w:type="dxa"/>
              <w:right w:w="80" w:type="dxa"/>
            </w:tcMar>
            <w:vAlign w:val="center"/>
          </w:tcPr>
          <w:p w14:paraId="6EF88A11"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44CF1273"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52C37A17"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19. Paydaşlar (öğrenci, akademik, idari personel) arasında problem çıktığında, profesyonelce problemi çözümleme</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02FB5CC"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4.19</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315E2D1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4.29</w:t>
            </w:r>
          </w:p>
        </w:tc>
        <w:tc>
          <w:tcPr>
            <w:tcW w:w="1400" w:type="dxa"/>
            <w:tcBorders>
              <w:top w:val="single" w:sz="0" w:space="0" w:color="999999"/>
              <w:left w:val="single" w:sz="0" w:space="0" w:color="999999"/>
              <w:bottom w:val="single" w:sz="0" w:space="0" w:color="999999"/>
              <w:right w:val="single" w:sz="0" w:space="0" w:color="999999"/>
            </w:tcBorders>
            <w:shd w:val="clear" w:color="auto" w:fill="F2F7FB"/>
            <w:tcMar>
              <w:top w:w="40" w:type="dxa"/>
              <w:left w:w="80" w:type="dxa"/>
              <w:bottom w:w="40" w:type="dxa"/>
              <w:right w:w="80" w:type="dxa"/>
            </w:tcMar>
            <w:vAlign w:val="center"/>
          </w:tcPr>
          <w:p w14:paraId="04F4F7B2"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r>
      <w:tr w:rsidR="00FB33D3" w14:paraId="7128342F" w14:textId="77777777" w:rsidTr="00E53D7D">
        <w:tc>
          <w:tcPr>
            <w:tcW w:w="4826" w:type="dxa"/>
            <w:tcBorders>
              <w:top w:val="single" w:sz="0" w:space="0" w:color="999999"/>
              <w:left w:val="single" w:sz="0" w:space="0" w:color="999999"/>
              <w:bottom w:val="single" w:sz="0" w:space="0" w:color="999999"/>
              <w:right w:val="single" w:sz="0" w:space="0" w:color="999999"/>
            </w:tcBorders>
            <w:shd w:val="clear" w:color="auto" w:fill="D5E8F0"/>
            <w:tcMar>
              <w:top w:w="40" w:type="dxa"/>
              <w:left w:w="80" w:type="dxa"/>
              <w:bottom w:w="40" w:type="dxa"/>
              <w:right w:w="80" w:type="dxa"/>
            </w:tcMar>
            <w:vAlign w:val="center"/>
          </w:tcPr>
          <w:p w14:paraId="570394C0"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sz w:val="20"/>
                <w:szCs w:val="20"/>
              </w:rPr>
              <w:t>Genel Ortalama</w:t>
            </w:r>
          </w:p>
        </w:tc>
        <w:tc>
          <w:tcPr>
            <w:tcW w:w="1400" w:type="dxa"/>
            <w:tcBorders>
              <w:top w:val="single" w:sz="0" w:space="0" w:color="999999"/>
              <w:left w:val="single" w:sz="0" w:space="0" w:color="999999"/>
              <w:bottom w:val="single" w:sz="0" w:space="0" w:color="999999"/>
              <w:right w:val="single" w:sz="0" w:space="0" w:color="999999"/>
            </w:tcBorders>
            <w:shd w:val="clear" w:color="auto" w:fill="D5E8F0"/>
            <w:tcMar>
              <w:top w:w="40" w:type="dxa"/>
              <w:left w:w="80" w:type="dxa"/>
              <w:bottom w:w="40" w:type="dxa"/>
              <w:right w:w="80" w:type="dxa"/>
            </w:tcMar>
            <w:vAlign w:val="center"/>
          </w:tcPr>
          <w:p w14:paraId="3F6E74D3"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4.21</w:t>
            </w:r>
          </w:p>
        </w:tc>
        <w:tc>
          <w:tcPr>
            <w:tcW w:w="1400" w:type="dxa"/>
            <w:tcBorders>
              <w:top w:val="single" w:sz="0" w:space="0" w:color="999999"/>
              <w:left w:val="single" w:sz="0" w:space="0" w:color="999999"/>
              <w:bottom w:val="single" w:sz="0" w:space="0" w:color="999999"/>
              <w:right w:val="single" w:sz="0" w:space="0" w:color="999999"/>
            </w:tcBorders>
            <w:shd w:val="clear" w:color="auto" w:fill="D5E8F0"/>
            <w:tcMar>
              <w:top w:w="40" w:type="dxa"/>
              <w:left w:w="80" w:type="dxa"/>
              <w:bottom w:w="40" w:type="dxa"/>
              <w:right w:w="80" w:type="dxa"/>
            </w:tcMar>
            <w:vAlign w:val="center"/>
          </w:tcPr>
          <w:p w14:paraId="0B848BC9"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4.27</w:t>
            </w:r>
          </w:p>
        </w:tc>
        <w:tc>
          <w:tcPr>
            <w:tcW w:w="1400" w:type="dxa"/>
            <w:tcBorders>
              <w:top w:val="single" w:sz="0" w:space="0" w:color="999999"/>
              <w:left w:val="single" w:sz="0" w:space="0" w:color="999999"/>
              <w:bottom w:val="single" w:sz="0" w:space="0" w:color="999999"/>
              <w:right w:val="single" w:sz="0" w:space="0" w:color="999999"/>
            </w:tcBorders>
            <w:shd w:val="clear" w:color="auto" w:fill="D5E8F0"/>
            <w:tcMar>
              <w:top w:w="40" w:type="dxa"/>
              <w:left w:w="80" w:type="dxa"/>
              <w:bottom w:w="40" w:type="dxa"/>
              <w:right w:w="80" w:type="dxa"/>
            </w:tcMar>
            <w:vAlign w:val="center"/>
          </w:tcPr>
          <w:p w14:paraId="76F35C48" w14:textId="77777777" w:rsidR="00FB33D3" w:rsidRDefault="00FB33D3" w:rsidP="00E53D7D">
            <w:pPr>
              <w:spacing w:after="0" w:line="260" w:lineRule="auto"/>
              <w:jc w:val="both"/>
              <w:rPr>
                <w:rFonts w:ascii="Times New Roman" w:hAnsi="Times New Roman" w:cs="Times New Roman"/>
                <w:sz w:val="20"/>
                <w:szCs w:val="20"/>
              </w:rPr>
            </w:pPr>
            <w:r>
              <w:rPr>
                <w:rFonts w:ascii="Times New Roman" w:hAnsi="Times New Roman" w:cs="Times New Roman"/>
                <w:b/>
                <w:bCs/>
                <w:sz w:val="20"/>
                <w:szCs w:val="20"/>
              </w:rPr>
              <w:t>4.25</w:t>
            </w:r>
          </w:p>
        </w:tc>
      </w:tr>
    </w:tbl>
    <w:p w14:paraId="2E66DCD8"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Karşılaştırma tablosu incelendiğinde, dekan yardımcısının tüm 19 maddede en yüksek ortalamaya sahip olduğu açıkça görülmektedir. Genel ortalamalar incelendiğinde üç yöneticinin genel ortalamalarının benzer olduğu belirlenmiştir. Bu durum, yöneticilerin benzer bir yönetim anlayışına sahip olduğu şeklinde yorumlanabilir. </w:t>
      </w:r>
    </w:p>
    <w:p w14:paraId="3B33285B" w14:textId="77777777" w:rsidR="00FB33D3" w:rsidRDefault="00FB33D3" w:rsidP="00FB33D3">
      <w:pPr>
        <w:pStyle w:val="Balk1"/>
        <w:spacing w:before="0" w:after="0" w:line="360" w:lineRule="auto"/>
        <w:rPr>
          <w:rFonts w:ascii="Times New Roman" w:hAnsi="Times New Roman" w:cs="Times New Roman"/>
          <w:sz w:val="24"/>
          <w:szCs w:val="24"/>
        </w:rPr>
      </w:pPr>
      <w:r>
        <w:rPr>
          <w:rFonts w:ascii="Times New Roman" w:hAnsi="Times New Roman" w:cs="Times New Roman"/>
          <w:sz w:val="24"/>
          <w:szCs w:val="24"/>
        </w:rPr>
        <w:t>6. Sonuç ve Değerlendirme</w:t>
      </w:r>
    </w:p>
    <w:p w14:paraId="349FF563"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Hemşirelik Bölümü öğrencilerinin yönetici yetkinlik performans değerlendirme anketi sonuçları genel olarak olumlu bir tablo ortaya koymaktadır. Dekan (4.21), Dekan Yardımcısı (4.27) ve Bölüm Başkanı (4.25) için hesaplanan genel ortalamalar, Likert ölçeğinde "Katılıyorum" ile "Kesinlikle Katılıyorum" arasında yer almakta olup öğrencilerin yöneticilerin yetkinlik performansından genel olarak memnun olduğunu göstermektedir.</w:t>
      </w:r>
    </w:p>
    <w:p w14:paraId="7795B7FE"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Dekan yardımcısı, tüm değerlendirme kriterlerinde en yüksek ortalamayı elde etmiştir. Bu durum, dekan yardımcısının öğrencilerle daha yakın etkileşimde bulunması ve fakülte düzeyindeki süreçleri daha etkin yönetmesiyle ilişkilendirilebilir. Dekan, dekan yardımcısı ve bölüm başkanı değerlendirmeleri ise birbirine yakın düzeyde olup, fakülte genelindeki yönetim süreçlerinde tutarlı bir performans sergilendiğine işaret etmektedir.</w:t>
      </w:r>
    </w:p>
    <w:p w14:paraId="45C09418" w14:textId="77777777" w:rsidR="00FB33D3" w:rsidRDefault="00FB33D3" w:rsidP="00FB33D3">
      <w:pPr>
        <w:pStyle w:val="Balk1"/>
        <w:spacing w:before="0" w:after="0" w:line="360" w:lineRule="auto"/>
        <w:rPr>
          <w:rFonts w:ascii="Times New Roman" w:hAnsi="Times New Roman" w:cs="Times New Roman"/>
          <w:sz w:val="24"/>
          <w:szCs w:val="24"/>
        </w:rPr>
      </w:pPr>
      <w:r>
        <w:rPr>
          <w:rFonts w:ascii="Times New Roman" w:hAnsi="Times New Roman" w:cs="Times New Roman"/>
          <w:sz w:val="24"/>
          <w:szCs w:val="24"/>
        </w:rPr>
        <w:t>SKOR</w:t>
      </w:r>
    </w:p>
    <w:p w14:paraId="07FE2A20" w14:textId="77777777" w:rsidR="00FB33D3" w:rsidRDefault="00FB33D3" w:rsidP="00FB33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Anket sonuçlarının yorumlanmasında kullanılan olgunluk düzeyleri ve PUKÖ (Planla-Uygula-Kontrol Et-Önlem Al) döngüsüne göre faaliyet tanımları ile DİF (Düzeltici/İyileştirici Faaliyet) gereklilikleri aşağıdaki skor tablosunda sunulmuştur.</w:t>
      </w:r>
    </w:p>
    <w:p w14:paraId="48BD4C4D" w14:textId="040202EB" w:rsidR="00FB33D3" w:rsidRPr="00851FAB" w:rsidRDefault="00FB33D3" w:rsidP="00851FA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Bu ölçeğe göre Hemşirelik Bölümü sonuçları değerlendirildiğinde; Dekan (4.21) ve Dekan Yardımcısı (4.27) ve Bölüm Başkanı (4.25) genel ortalamaları "Örnek Gösterilebilir Uygulamalar (5) – Güçlü Yön" düzeyine karşılık gelmektedir. Bu sonuç, dekan, dekan yardımcısı ve bölüm başkanı yönetici yetkinlik performansının öğrenciler tarafından güçlü yön olarak değerlendirildiğini ve örnek gösterilebilir uygulamalar düzeyinde kabul edildiğini ortaya koymaktadır.</w:t>
      </w:r>
    </w:p>
    <w:sectPr w:rsidR="00FB33D3" w:rsidRPr="00851F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Bold">
    <w:altName w:val="Segoe Print"/>
    <w:charset w:val="00"/>
    <w:family w:val="auto"/>
    <w:pitch w:val="default"/>
  </w:font>
  <w:font w:name="docs-Roboto">
    <w:altName w:val="Cambria"/>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D3"/>
    <w:rsid w:val="0028230E"/>
    <w:rsid w:val="00436D17"/>
    <w:rsid w:val="00851FAB"/>
    <w:rsid w:val="00A12F33"/>
    <w:rsid w:val="00E76F22"/>
    <w:rsid w:val="00FB33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5F590"/>
  <w15:chartTrackingRefBased/>
  <w15:docId w15:val="{C473B9CB-148E-364E-859A-59743807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3D3"/>
    <w:pPr>
      <w:spacing w:line="259" w:lineRule="auto"/>
    </w:pPr>
    <w:rPr>
      <w:sz w:val="22"/>
      <w:szCs w:val="22"/>
    </w:rPr>
  </w:style>
  <w:style w:type="paragraph" w:styleId="Balk1">
    <w:name w:val="heading 1"/>
    <w:basedOn w:val="Normal"/>
    <w:next w:val="Normal"/>
    <w:link w:val="Balk1Char"/>
    <w:uiPriority w:val="9"/>
    <w:qFormat/>
    <w:rsid w:val="00FB33D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B33D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B33D3"/>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B33D3"/>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FB33D3"/>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FB33D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FB33D3"/>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FB33D3"/>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FB33D3"/>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FB33D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B33D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B33D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B33D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B33D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B33D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B33D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B33D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B33D3"/>
    <w:rPr>
      <w:rFonts w:eastAsiaTheme="majorEastAsia" w:cstheme="majorBidi"/>
      <w:color w:val="272727" w:themeColor="text1" w:themeTint="D8"/>
    </w:rPr>
  </w:style>
  <w:style w:type="paragraph" w:styleId="KonuBal">
    <w:name w:val="Title"/>
    <w:basedOn w:val="Normal"/>
    <w:next w:val="Normal"/>
    <w:link w:val="KonuBalChar"/>
    <w:uiPriority w:val="10"/>
    <w:qFormat/>
    <w:rsid w:val="00FB33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B33D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B33D3"/>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B33D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B33D3"/>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FB33D3"/>
    <w:rPr>
      <w:i/>
      <w:iCs/>
      <w:color w:val="404040" w:themeColor="text1" w:themeTint="BF"/>
    </w:rPr>
  </w:style>
  <w:style w:type="paragraph" w:styleId="ListeParagraf">
    <w:name w:val="List Paragraph"/>
    <w:basedOn w:val="Normal"/>
    <w:uiPriority w:val="34"/>
    <w:qFormat/>
    <w:rsid w:val="00FB33D3"/>
    <w:pPr>
      <w:spacing w:line="278" w:lineRule="auto"/>
      <w:ind w:left="720"/>
      <w:contextualSpacing/>
    </w:pPr>
    <w:rPr>
      <w:sz w:val="24"/>
      <w:szCs w:val="24"/>
    </w:rPr>
  </w:style>
  <w:style w:type="character" w:styleId="GlVurgulama">
    <w:name w:val="Intense Emphasis"/>
    <w:basedOn w:val="VarsaylanParagrafYazTipi"/>
    <w:uiPriority w:val="21"/>
    <w:qFormat/>
    <w:rsid w:val="00FB33D3"/>
    <w:rPr>
      <w:i/>
      <w:iCs/>
      <w:color w:val="0F4761" w:themeColor="accent1" w:themeShade="BF"/>
    </w:rPr>
  </w:style>
  <w:style w:type="paragraph" w:styleId="GlAlnt">
    <w:name w:val="Intense Quote"/>
    <w:basedOn w:val="Normal"/>
    <w:next w:val="Normal"/>
    <w:link w:val="GlAlntChar"/>
    <w:uiPriority w:val="30"/>
    <w:qFormat/>
    <w:rsid w:val="00FB33D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FB33D3"/>
    <w:rPr>
      <w:i/>
      <w:iCs/>
      <w:color w:val="0F4761" w:themeColor="accent1" w:themeShade="BF"/>
    </w:rPr>
  </w:style>
  <w:style w:type="character" w:styleId="GlBavuru">
    <w:name w:val="Intense Reference"/>
    <w:basedOn w:val="VarsaylanParagrafYazTipi"/>
    <w:uiPriority w:val="32"/>
    <w:qFormat/>
    <w:rsid w:val="00FB33D3"/>
    <w:rPr>
      <w:b/>
      <w:bCs/>
      <w:smallCaps/>
      <w:color w:val="0F4761" w:themeColor="accent1" w:themeShade="BF"/>
      <w:spacing w:val="5"/>
    </w:rPr>
  </w:style>
  <w:style w:type="paragraph" w:styleId="NormalWeb">
    <w:name w:val="Normal (Web)"/>
    <w:uiPriority w:val="99"/>
    <w:semiHidden/>
    <w:unhideWhenUsed/>
    <w:qFormat/>
    <w:rsid w:val="00FB33D3"/>
    <w:pPr>
      <w:spacing w:beforeAutospacing="1" w:after="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2965</Words>
  <Characters>16905</Characters>
  <Application>Microsoft Office Word</Application>
  <DocSecurity>0</DocSecurity>
  <Lines>140</Lines>
  <Paragraphs>39</Paragraphs>
  <ScaleCrop>false</ScaleCrop>
  <Company/>
  <LinksUpToDate>false</LinksUpToDate>
  <CharactersWithSpaces>19831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YILDIRIM</dc:creator>
  <cp:keywords/>
  <dc:description/>
  <cp:lastModifiedBy>Gamze ACAVUT</cp:lastModifiedBy>
  <cp:revision>2</cp:revision>
  <dcterms:created xsi:type="dcterms:W3CDTF">2026-10-07T17:47:00Z</dcterms:created>
  <dcterms:modified xsi:type="dcterms:W3CDTF">2026-10-07T17:47:00Z</dcterms:modified>
</cp:coreProperties>
</file>